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FEB" w:rsidRDefault="00A30BF2">
      <w:pPr>
        <w:spacing w:before="80" w:after="40" w:line="293" w:lineRule="auto"/>
        <w:jc w:val="center"/>
        <w:rPr>
          <w:lang w:eastAsia="zh-CN"/>
        </w:rPr>
      </w:pPr>
      <w:r>
        <w:rPr>
          <w:rFonts w:ascii="黑体" w:eastAsia="黑体" w:hAnsi="黑体"/>
          <w:b/>
          <w:color w:val="000000"/>
          <w:sz w:val="34"/>
          <w:lang w:eastAsia="zh-CN"/>
        </w:rPr>
        <w:t>生物质颗粒燃料采购技术要求</w:t>
      </w:r>
    </w:p>
    <w:p w:rsidR="00C01FEB" w:rsidRDefault="00A30BF2">
      <w:pPr>
        <w:spacing w:before="180" w:after="80" w:line="293" w:lineRule="auto"/>
        <w:rPr>
          <w:lang w:eastAsia="zh-CN"/>
        </w:rPr>
      </w:pPr>
      <w:r>
        <w:rPr>
          <w:rFonts w:ascii="黑体" w:eastAsia="黑体" w:hAnsi="黑体"/>
          <w:b/>
          <w:color w:val="000000"/>
          <w:sz w:val="25"/>
          <w:lang w:eastAsia="zh-CN"/>
        </w:rPr>
        <w:t>一、采购内容</w:t>
      </w:r>
    </w:p>
    <w:p w:rsidR="00C01FEB" w:rsidRDefault="00A30BF2">
      <w:pPr>
        <w:spacing w:after="60" w:line="293" w:lineRule="auto"/>
        <w:rPr>
          <w:lang w:eastAsia="zh-CN"/>
        </w:rPr>
      </w:pPr>
      <w:r>
        <w:rPr>
          <w:color w:val="000000"/>
          <w:lang w:eastAsia="zh-CN"/>
        </w:rPr>
        <w:t>1. 物资名称：生物质成型颗粒燃料（松木／樟子松刨花颗粒）。</w:t>
      </w:r>
    </w:p>
    <w:p w:rsidR="00C01FEB" w:rsidRDefault="00A30BF2">
      <w:pPr>
        <w:spacing w:after="60" w:line="293" w:lineRule="auto"/>
        <w:rPr>
          <w:lang w:eastAsia="zh-CN"/>
        </w:rPr>
      </w:pPr>
      <w:r>
        <w:rPr>
          <w:color w:val="000000"/>
          <w:lang w:eastAsia="zh-CN"/>
        </w:rPr>
        <w:t>2. 用途：供公司 1.5 吨生物质（秸秆）炉燃烧使用，须能保证锅炉满负荷稳定运行、</w:t>
      </w:r>
      <w:proofErr w:type="gramStart"/>
      <w:r>
        <w:rPr>
          <w:color w:val="000000"/>
          <w:lang w:eastAsia="zh-CN"/>
        </w:rPr>
        <w:t>不</w:t>
      </w:r>
      <w:proofErr w:type="gramEnd"/>
      <w:r>
        <w:rPr>
          <w:color w:val="000000"/>
          <w:lang w:eastAsia="zh-CN"/>
        </w:rPr>
        <w:t>结焦、不堵料。</w:t>
      </w:r>
    </w:p>
    <w:p w:rsidR="00C01FEB" w:rsidRDefault="00A30BF2">
      <w:pPr>
        <w:spacing w:after="60" w:line="293" w:lineRule="auto"/>
        <w:rPr>
          <w:lang w:eastAsia="zh-CN"/>
        </w:rPr>
      </w:pPr>
      <w:r>
        <w:rPr>
          <w:color w:val="000000"/>
          <w:lang w:eastAsia="zh-CN"/>
        </w:rPr>
        <w:t>3. 数量：年度约</w:t>
      </w:r>
      <w:r w:rsidR="009A25D5">
        <w:rPr>
          <w:color w:val="000000"/>
          <w:u w:val="single"/>
          <w:lang w:eastAsia="zh-CN"/>
        </w:rPr>
        <w:t>270</w:t>
      </w:r>
      <w:r>
        <w:rPr>
          <w:color w:val="000000"/>
          <w:lang w:eastAsia="zh-CN"/>
        </w:rPr>
        <w:t>吨，实际以我方分批下达的供货通知为准，据实结算。</w:t>
      </w:r>
    </w:p>
    <w:p w:rsidR="00C01FEB" w:rsidRDefault="00A30BF2">
      <w:pPr>
        <w:spacing w:after="60" w:line="293" w:lineRule="auto"/>
        <w:rPr>
          <w:lang w:eastAsia="zh-CN"/>
        </w:rPr>
      </w:pPr>
      <w:r>
        <w:rPr>
          <w:color w:val="000000"/>
          <w:lang w:eastAsia="zh-CN"/>
        </w:rPr>
        <w:t>4. 交货地点：</w:t>
      </w:r>
      <w:r w:rsidR="009A25D5">
        <w:rPr>
          <w:rFonts w:hint="eastAsia"/>
          <w:color w:val="000000"/>
          <w:lang w:eastAsia="zh-CN"/>
        </w:rPr>
        <w:t>沈阳昊诚电气有限公司</w:t>
      </w:r>
      <w:r w:rsidR="009A25D5">
        <w:rPr>
          <w:lang w:eastAsia="zh-CN"/>
        </w:rPr>
        <w:t xml:space="preserve"> </w:t>
      </w:r>
    </w:p>
    <w:p w:rsidR="00C01FEB" w:rsidRDefault="00A30BF2">
      <w:pPr>
        <w:spacing w:before="180" w:after="80" w:line="293" w:lineRule="auto"/>
        <w:rPr>
          <w:lang w:eastAsia="zh-CN"/>
        </w:rPr>
      </w:pPr>
      <w:r>
        <w:rPr>
          <w:rFonts w:ascii="黑体" w:eastAsia="黑体" w:hAnsi="黑体"/>
          <w:b/>
          <w:color w:val="000000"/>
          <w:sz w:val="25"/>
          <w:lang w:eastAsia="zh-CN"/>
        </w:rPr>
        <w:t>二、技术指标要求</w:t>
      </w:r>
    </w:p>
    <w:p w:rsidR="00C01FEB" w:rsidRDefault="00F97131">
      <w:pPr>
        <w:spacing w:after="60" w:line="293" w:lineRule="auto"/>
        <w:rPr>
          <w:rFonts w:hint="eastAsia"/>
          <w:lang w:eastAsia="zh-CN"/>
        </w:rPr>
      </w:pPr>
      <w:r>
        <w:rPr>
          <w:rFonts w:hint="eastAsia"/>
          <w:color w:val="000000"/>
          <w:lang w:eastAsia="zh-CN"/>
        </w:rPr>
        <w:t>核心项为</w:t>
      </w:r>
      <w:r>
        <w:rPr>
          <w:color w:val="000000"/>
          <w:lang w:eastAsia="zh-CN"/>
        </w:rPr>
        <w:t>燃料必须达到的要求</w:t>
      </w:r>
    </w:p>
    <w:tbl>
      <w:tblPr>
        <w:tblStyle w:val="aff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737"/>
        <w:gridCol w:w="1644"/>
        <w:gridCol w:w="2211"/>
        <w:gridCol w:w="2665"/>
        <w:gridCol w:w="794"/>
      </w:tblGrid>
      <w:tr w:rsidR="00C01FEB">
        <w:trPr>
          <w:jc w:val="center"/>
        </w:trPr>
        <w:tc>
          <w:tcPr>
            <w:tcW w:w="1134" w:type="dxa"/>
            <w:shd w:val="clear" w:color="auto" w:fill="D9D9D9"/>
            <w:vAlign w:val="center"/>
          </w:tcPr>
          <w:p w:rsidR="00C01FEB" w:rsidRDefault="00A30BF2">
            <w:pPr>
              <w:spacing w:before="20" w:after="20" w:line="264" w:lineRule="auto"/>
              <w:jc w:val="center"/>
            </w:pPr>
            <w:proofErr w:type="spellStart"/>
            <w:r>
              <w:rPr>
                <w:rFonts w:ascii="黑体" w:eastAsia="黑体" w:hAnsi="黑体"/>
                <w:b/>
                <w:color w:val="000000"/>
                <w:sz w:val="18"/>
              </w:rPr>
              <w:t>检测项目</w:t>
            </w:r>
            <w:proofErr w:type="spellEnd"/>
          </w:p>
        </w:tc>
        <w:tc>
          <w:tcPr>
            <w:tcW w:w="737" w:type="dxa"/>
            <w:shd w:val="clear" w:color="auto" w:fill="D9D9D9"/>
            <w:vAlign w:val="center"/>
          </w:tcPr>
          <w:p w:rsidR="00C01FEB" w:rsidRDefault="00A30BF2">
            <w:pPr>
              <w:spacing w:before="20" w:after="20" w:line="264" w:lineRule="auto"/>
              <w:jc w:val="center"/>
            </w:pPr>
            <w:r>
              <w:rPr>
                <w:rFonts w:ascii="黑体" w:eastAsia="黑体" w:hAnsi="黑体"/>
                <w:b/>
                <w:color w:val="000000"/>
                <w:sz w:val="18"/>
              </w:rPr>
              <w:t>单位</w:t>
            </w:r>
          </w:p>
        </w:tc>
        <w:tc>
          <w:tcPr>
            <w:tcW w:w="1644" w:type="dxa"/>
            <w:shd w:val="clear" w:color="auto" w:fill="D9D9D9"/>
            <w:vAlign w:val="center"/>
          </w:tcPr>
          <w:p w:rsidR="00C01FEB" w:rsidRDefault="00A30BF2">
            <w:pPr>
              <w:spacing w:before="20" w:after="20" w:line="264" w:lineRule="auto"/>
              <w:jc w:val="center"/>
            </w:pPr>
            <w:r>
              <w:rPr>
                <w:rFonts w:ascii="黑体" w:eastAsia="黑体" w:hAnsi="黑体"/>
                <w:b/>
                <w:color w:val="000000"/>
                <w:sz w:val="18"/>
              </w:rPr>
              <w:t>要求（限值）</w:t>
            </w:r>
          </w:p>
        </w:tc>
        <w:tc>
          <w:tcPr>
            <w:tcW w:w="2211" w:type="dxa"/>
            <w:shd w:val="clear" w:color="auto" w:fill="D9D9D9"/>
            <w:vAlign w:val="center"/>
          </w:tcPr>
          <w:p w:rsidR="00C01FEB" w:rsidRDefault="00A30BF2">
            <w:pPr>
              <w:spacing w:before="20" w:after="20" w:line="264" w:lineRule="auto"/>
              <w:jc w:val="center"/>
            </w:pPr>
            <w:r>
              <w:rPr>
                <w:rFonts w:ascii="黑体" w:eastAsia="黑体" w:hAnsi="黑体"/>
                <w:b/>
                <w:color w:val="000000"/>
                <w:sz w:val="18"/>
              </w:rPr>
              <w:t>这一项是什么意思</w:t>
            </w:r>
          </w:p>
        </w:tc>
        <w:tc>
          <w:tcPr>
            <w:tcW w:w="2665" w:type="dxa"/>
            <w:shd w:val="clear" w:color="auto" w:fill="D9D9D9"/>
            <w:vAlign w:val="center"/>
          </w:tcPr>
          <w:p w:rsidR="00C01FEB" w:rsidRDefault="00A30BF2">
            <w:pPr>
              <w:spacing w:before="20" w:after="20" w:line="264" w:lineRule="auto"/>
              <w:jc w:val="center"/>
            </w:pPr>
            <w:r>
              <w:rPr>
                <w:rFonts w:ascii="黑体" w:eastAsia="黑体" w:hAnsi="黑体"/>
                <w:b/>
                <w:color w:val="000000"/>
                <w:sz w:val="18"/>
              </w:rPr>
              <w:t>不达标会咋样</w:t>
            </w:r>
          </w:p>
        </w:tc>
        <w:tc>
          <w:tcPr>
            <w:tcW w:w="794" w:type="dxa"/>
            <w:shd w:val="clear" w:color="auto" w:fill="D9D9D9"/>
            <w:vAlign w:val="center"/>
          </w:tcPr>
          <w:p w:rsidR="00C01FEB" w:rsidRDefault="00A30BF2">
            <w:pPr>
              <w:spacing w:before="20" w:after="20" w:line="264" w:lineRule="auto"/>
              <w:jc w:val="center"/>
            </w:pPr>
            <w:r>
              <w:rPr>
                <w:rFonts w:ascii="黑体" w:eastAsia="黑体" w:hAnsi="黑体"/>
                <w:b/>
                <w:color w:val="000000"/>
                <w:sz w:val="18"/>
              </w:rPr>
              <w:t>判定</w:t>
            </w:r>
          </w:p>
        </w:tc>
      </w:tr>
      <w:tr w:rsidR="00C01FEB">
        <w:trPr>
          <w:jc w:val="center"/>
        </w:trPr>
        <w:tc>
          <w:tcPr>
            <w:tcW w:w="1134" w:type="dxa"/>
            <w:vAlign w:val="center"/>
          </w:tcPr>
          <w:p w:rsidR="00C01FEB" w:rsidRDefault="00A30BF2">
            <w:pPr>
              <w:spacing w:before="20" w:after="20" w:line="264" w:lineRule="auto"/>
              <w:jc w:val="center"/>
            </w:pPr>
            <w:proofErr w:type="spellStart"/>
            <w:r>
              <w:rPr>
                <w:color w:val="000000"/>
                <w:sz w:val="18"/>
              </w:rPr>
              <w:t>发热量</w:t>
            </w:r>
            <w:proofErr w:type="spellEnd"/>
          </w:p>
        </w:tc>
        <w:tc>
          <w:tcPr>
            <w:tcW w:w="737" w:type="dxa"/>
            <w:vAlign w:val="center"/>
          </w:tcPr>
          <w:p w:rsidR="00C01FEB" w:rsidRDefault="00A30BF2">
            <w:pPr>
              <w:spacing w:before="20" w:after="20" w:line="264" w:lineRule="auto"/>
              <w:jc w:val="center"/>
            </w:pPr>
            <w:r>
              <w:rPr>
                <w:color w:val="000000"/>
                <w:sz w:val="18"/>
              </w:rPr>
              <w:t>大卡/kg</w:t>
            </w:r>
          </w:p>
        </w:tc>
        <w:tc>
          <w:tcPr>
            <w:tcW w:w="1644" w:type="dxa"/>
            <w:vAlign w:val="center"/>
          </w:tcPr>
          <w:p w:rsidR="00C01FEB" w:rsidRDefault="009A25D5">
            <w:pPr>
              <w:spacing w:before="20" w:after="20" w:line="264" w:lineRule="auto"/>
              <w:jc w:val="center"/>
              <w:rPr>
                <w:lang w:eastAsia="zh-CN"/>
              </w:rPr>
            </w:pPr>
            <w:r>
              <w:rPr>
                <w:color w:val="000000"/>
                <w:sz w:val="18"/>
                <w:lang w:eastAsia="zh-CN"/>
              </w:rPr>
              <w:t>4700</w:t>
            </w:r>
          </w:p>
        </w:tc>
        <w:tc>
          <w:tcPr>
            <w:tcW w:w="2211" w:type="dxa"/>
            <w:vAlign w:val="center"/>
          </w:tcPr>
          <w:p w:rsidR="00C01FEB" w:rsidRDefault="00A30BF2">
            <w:pPr>
              <w:spacing w:before="20" w:after="20" w:line="264" w:lineRule="auto"/>
              <w:rPr>
                <w:lang w:eastAsia="zh-CN"/>
              </w:rPr>
            </w:pPr>
            <w:r>
              <w:rPr>
                <w:color w:val="000000"/>
                <w:sz w:val="18"/>
                <w:lang w:eastAsia="zh-CN"/>
              </w:rPr>
              <w:t>一公斤燃料实际能发出的热量，是燃料“有没有劲”的直接指标</w:t>
            </w:r>
          </w:p>
        </w:tc>
        <w:tc>
          <w:tcPr>
            <w:tcW w:w="2665" w:type="dxa"/>
            <w:vAlign w:val="center"/>
          </w:tcPr>
          <w:p w:rsidR="00C01FEB" w:rsidRDefault="00A30BF2">
            <w:pPr>
              <w:spacing w:before="20" w:after="20" w:line="264" w:lineRule="auto"/>
              <w:rPr>
                <w:lang w:eastAsia="zh-CN"/>
              </w:rPr>
            </w:pPr>
            <w:r>
              <w:rPr>
                <w:color w:val="000000"/>
                <w:sz w:val="18"/>
                <w:lang w:eastAsia="zh-CN"/>
              </w:rPr>
              <w:t>炉子带不动负荷，蒸汽／热水温度上不去，同样的用量烧不出同样的热；热值越低越费料、越费钱</w:t>
            </w:r>
          </w:p>
        </w:tc>
        <w:tc>
          <w:tcPr>
            <w:tcW w:w="794" w:type="dxa"/>
            <w:vAlign w:val="center"/>
          </w:tcPr>
          <w:p w:rsidR="00C01FEB" w:rsidRDefault="00A30BF2">
            <w:pPr>
              <w:spacing w:before="20" w:after="20" w:line="264" w:lineRule="auto"/>
            </w:pPr>
            <w:proofErr w:type="spellStart"/>
            <w:r>
              <w:rPr>
                <w:color w:val="000000"/>
                <w:sz w:val="18"/>
              </w:rPr>
              <w:t>核心项</w:t>
            </w:r>
            <w:proofErr w:type="spellEnd"/>
          </w:p>
        </w:tc>
      </w:tr>
      <w:tr w:rsidR="00C01FEB">
        <w:trPr>
          <w:jc w:val="center"/>
        </w:trPr>
        <w:tc>
          <w:tcPr>
            <w:tcW w:w="1134" w:type="dxa"/>
            <w:vAlign w:val="center"/>
          </w:tcPr>
          <w:p w:rsidR="00C01FEB" w:rsidRDefault="00A30BF2">
            <w:pPr>
              <w:spacing w:before="20" w:after="20" w:line="264" w:lineRule="auto"/>
              <w:jc w:val="center"/>
            </w:pPr>
            <w:r>
              <w:rPr>
                <w:color w:val="000000"/>
                <w:sz w:val="18"/>
              </w:rPr>
              <w:t>水分（M）</w:t>
            </w:r>
          </w:p>
        </w:tc>
        <w:tc>
          <w:tcPr>
            <w:tcW w:w="737" w:type="dxa"/>
            <w:vAlign w:val="center"/>
          </w:tcPr>
          <w:p w:rsidR="00C01FEB" w:rsidRDefault="00A30BF2">
            <w:pPr>
              <w:spacing w:before="20" w:after="20" w:line="264" w:lineRule="auto"/>
              <w:jc w:val="center"/>
            </w:pPr>
            <w:r>
              <w:rPr>
                <w:color w:val="000000"/>
                <w:sz w:val="18"/>
              </w:rPr>
              <w:t>%</w:t>
            </w:r>
          </w:p>
        </w:tc>
        <w:tc>
          <w:tcPr>
            <w:tcW w:w="1644" w:type="dxa"/>
            <w:vAlign w:val="center"/>
          </w:tcPr>
          <w:p w:rsidR="00C01FEB" w:rsidRDefault="00A30BF2" w:rsidP="009A25D5">
            <w:pPr>
              <w:spacing w:before="20" w:after="20" w:line="264" w:lineRule="auto"/>
              <w:jc w:val="center"/>
              <w:rPr>
                <w:lang w:eastAsia="zh-CN"/>
              </w:rPr>
            </w:pPr>
            <w:r>
              <w:rPr>
                <w:color w:val="000000"/>
                <w:sz w:val="18"/>
                <w:lang w:eastAsia="zh-CN"/>
              </w:rPr>
              <w:t>≤ 6.0</w:t>
            </w:r>
          </w:p>
        </w:tc>
        <w:tc>
          <w:tcPr>
            <w:tcW w:w="2211" w:type="dxa"/>
            <w:vAlign w:val="center"/>
          </w:tcPr>
          <w:p w:rsidR="00C01FEB" w:rsidRDefault="00A30BF2">
            <w:pPr>
              <w:spacing w:before="20" w:after="20" w:line="264" w:lineRule="auto"/>
              <w:rPr>
                <w:lang w:eastAsia="zh-CN"/>
              </w:rPr>
            </w:pPr>
            <w:r>
              <w:rPr>
                <w:color w:val="000000"/>
                <w:sz w:val="18"/>
                <w:lang w:eastAsia="zh-CN"/>
              </w:rPr>
              <w:t>燃料里含的水有多少。水不会发热，还要先吸热蒸发掉</w:t>
            </w:r>
          </w:p>
        </w:tc>
        <w:tc>
          <w:tcPr>
            <w:tcW w:w="2665" w:type="dxa"/>
            <w:vAlign w:val="center"/>
          </w:tcPr>
          <w:p w:rsidR="00C01FEB" w:rsidRDefault="00A30BF2">
            <w:pPr>
              <w:spacing w:before="20" w:after="20" w:line="264" w:lineRule="auto"/>
              <w:rPr>
                <w:lang w:eastAsia="zh-CN"/>
              </w:rPr>
            </w:pPr>
            <w:r>
              <w:rPr>
                <w:color w:val="000000"/>
                <w:sz w:val="18"/>
                <w:lang w:eastAsia="zh-CN"/>
              </w:rPr>
              <w:t>点火困难、冒黑烟、炉温低，大量热量白白用来烧水；水分过高的料在料仓、绞龙里还会结拱、堵料</w:t>
            </w:r>
          </w:p>
        </w:tc>
        <w:tc>
          <w:tcPr>
            <w:tcW w:w="794" w:type="dxa"/>
            <w:vAlign w:val="center"/>
          </w:tcPr>
          <w:p w:rsidR="00C01FEB" w:rsidRDefault="00A30BF2" w:rsidP="009A25D5">
            <w:pPr>
              <w:spacing w:before="20" w:after="20" w:line="264" w:lineRule="auto"/>
            </w:pPr>
            <w:proofErr w:type="spellStart"/>
            <w:r>
              <w:rPr>
                <w:color w:val="000000"/>
                <w:sz w:val="18"/>
              </w:rPr>
              <w:t>核心项</w:t>
            </w:r>
            <w:proofErr w:type="spellEnd"/>
          </w:p>
        </w:tc>
      </w:tr>
      <w:tr w:rsidR="00C01FEB">
        <w:trPr>
          <w:jc w:val="center"/>
        </w:trPr>
        <w:tc>
          <w:tcPr>
            <w:tcW w:w="1134" w:type="dxa"/>
            <w:vAlign w:val="center"/>
          </w:tcPr>
          <w:p w:rsidR="00C01FEB" w:rsidRDefault="00A30BF2">
            <w:pPr>
              <w:spacing w:before="20" w:after="20" w:line="264" w:lineRule="auto"/>
              <w:jc w:val="center"/>
            </w:pPr>
            <w:r>
              <w:rPr>
                <w:color w:val="000000"/>
                <w:sz w:val="18"/>
              </w:rPr>
              <w:t>灰分（A）</w:t>
            </w:r>
          </w:p>
        </w:tc>
        <w:tc>
          <w:tcPr>
            <w:tcW w:w="737" w:type="dxa"/>
            <w:vAlign w:val="center"/>
          </w:tcPr>
          <w:p w:rsidR="00C01FEB" w:rsidRDefault="00A30BF2">
            <w:pPr>
              <w:spacing w:before="20" w:after="20" w:line="264" w:lineRule="auto"/>
              <w:jc w:val="center"/>
            </w:pPr>
            <w:r>
              <w:rPr>
                <w:color w:val="000000"/>
                <w:sz w:val="18"/>
              </w:rPr>
              <w:t>%</w:t>
            </w:r>
          </w:p>
        </w:tc>
        <w:tc>
          <w:tcPr>
            <w:tcW w:w="1644" w:type="dxa"/>
            <w:vAlign w:val="center"/>
          </w:tcPr>
          <w:p w:rsidR="00C01FEB" w:rsidRDefault="00A30BF2">
            <w:pPr>
              <w:spacing w:before="20" w:after="20" w:line="264" w:lineRule="auto"/>
              <w:jc w:val="center"/>
            </w:pPr>
            <w:r>
              <w:rPr>
                <w:color w:val="000000"/>
                <w:sz w:val="18"/>
              </w:rPr>
              <w:t>≤ 1.5（干燥基；＞3.0 拒收）</w:t>
            </w:r>
          </w:p>
        </w:tc>
        <w:tc>
          <w:tcPr>
            <w:tcW w:w="2211" w:type="dxa"/>
            <w:vAlign w:val="center"/>
          </w:tcPr>
          <w:p w:rsidR="00C01FEB" w:rsidRDefault="00A30BF2">
            <w:pPr>
              <w:spacing w:before="20" w:after="20" w:line="264" w:lineRule="auto"/>
            </w:pPr>
            <w:r>
              <w:rPr>
                <w:color w:val="000000"/>
                <w:sz w:val="18"/>
                <w:lang w:eastAsia="zh-CN"/>
              </w:rPr>
              <w:t>燃料烧完剩下的</w:t>
            </w:r>
            <w:proofErr w:type="gramStart"/>
            <w:r>
              <w:rPr>
                <w:color w:val="000000"/>
                <w:sz w:val="18"/>
                <w:lang w:eastAsia="zh-CN"/>
              </w:rPr>
              <w:t>灰渣占多少</w:t>
            </w:r>
            <w:proofErr w:type="gramEnd"/>
            <w:r>
              <w:rPr>
                <w:color w:val="000000"/>
                <w:sz w:val="18"/>
                <w:lang w:eastAsia="zh-CN"/>
              </w:rPr>
              <w:t>。</w:t>
            </w:r>
            <w:proofErr w:type="spellStart"/>
            <w:r>
              <w:rPr>
                <w:color w:val="000000"/>
                <w:sz w:val="18"/>
              </w:rPr>
              <w:t>灰分是烧不着的部分</w:t>
            </w:r>
            <w:proofErr w:type="spellEnd"/>
          </w:p>
        </w:tc>
        <w:tc>
          <w:tcPr>
            <w:tcW w:w="2665" w:type="dxa"/>
            <w:vAlign w:val="center"/>
          </w:tcPr>
          <w:p w:rsidR="00C01FEB" w:rsidRDefault="00A30BF2">
            <w:pPr>
              <w:spacing w:before="20" w:after="20" w:line="264" w:lineRule="auto"/>
              <w:rPr>
                <w:lang w:eastAsia="zh-CN"/>
              </w:rPr>
            </w:pPr>
            <w:r>
              <w:rPr>
                <w:color w:val="000000"/>
                <w:sz w:val="18"/>
                <w:lang w:eastAsia="zh-CN"/>
              </w:rPr>
              <w:t>灰多＝有效热量少；炉排、炉膛积灰快，通风变差，容易结渣、结焦，得频繁停炉清灰</w:t>
            </w:r>
          </w:p>
        </w:tc>
        <w:tc>
          <w:tcPr>
            <w:tcW w:w="794" w:type="dxa"/>
            <w:vAlign w:val="center"/>
          </w:tcPr>
          <w:p w:rsidR="00C01FEB" w:rsidRDefault="00A30BF2">
            <w:pPr>
              <w:spacing w:before="20" w:after="20" w:line="264" w:lineRule="auto"/>
            </w:pPr>
            <w:proofErr w:type="spellStart"/>
            <w:r>
              <w:rPr>
                <w:color w:val="000000"/>
                <w:sz w:val="18"/>
              </w:rPr>
              <w:t>核心项</w:t>
            </w:r>
            <w:proofErr w:type="spellEnd"/>
          </w:p>
        </w:tc>
      </w:tr>
      <w:tr w:rsidR="00C01FEB">
        <w:trPr>
          <w:jc w:val="center"/>
        </w:trPr>
        <w:tc>
          <w:tcPr>
            <w:tcW w:w="1134" w:type="dxa"/>
            <w:vAlign w:val="center"/>
          </w:tcPr>
          <w:p w:rsidR="00C01FEB" w:rsidRDefault="009A25D5">
            <w:pPr>
              <w:spacing w:before="20" w:after="20" w:line="264" w:lineRule="auto"/>
              <w:jc w:val="center"/>
            </w:pPr>
            <w:r>
              <w:rPr>
                <w:rFonts w:hint="eastAsia"/>
                <w:lang w:eastAsia="zh-CN"/>
              </w:rPr>
              <w:t>颗粒度</w:t>
            </w:r>
          </w:p>
        </w:tc>
        <w:tc>
          <w:tcPr>
            <w:tcW w:w="737" w:type="dxa"/>
            <w:vAlign w:val="center"/>
          </w:tcPr>
          <w:p w:rsidR="00C01FEB" w:rsidRDefault="00A30BF2">
            <w:pPr>
              <w:spacing w:before="20" w:after="20" w:line="264" w:lineRule="auto"/>
              <w:jc w:val="center"/>
            </w:pPr>
            <w:r>
              <w:rPr>
                <w:color w:val="000000"/>
                <w:sz w:val="18"/>
              </w:rPr>
              <w:t>mm</w:t>
            </w:r>
          </w:p>
        </w:tc>
        <w:tc>
          <w:tcPr>
            <w:tcW w:w="1644" w:type="dxa"/>
            <w:vAlign w:val="center"/>
          </w:tcPr>
          <w:p w:rsidR="00C01FEB" w:rsidRDefault="009A25D5">
            <w:pPr>
              <w:spacing w:before="20" w:after="20" w:line="264" w:lineRule="auto"/>
              <w:jc w:val="center"/>
              <w:rPr>
                <w:lang w:eastAsia="zh-CN"/>
              </w:rPr>
            </w:pPr>
            <w:r>
              <w:rPr>
                <w:rFonts w:hint="eastAsia"/>
                <w:color w:val="000000"/>
                <w:sz w:val="18"/>
                <w:lang w:eastAsia="zh-CN"/>
              </w:rPr>
              <w:t>≥</w:t>
            </w:r>
            <w:r>
              <w:rPr>
                <w:color w:val="000000"/>
                <w:sz w:val="18"/>
                <w:lang w:eastAsia="zh-CN"/>
              </w:rPr>
              <w:t>5</w:t>
            </w:r>
          </w:p>
        </w:tc>
        <w:tc>
          <w:tcPr>
            <w:tcW w:w="2211" w:type="dxa"/>
            <w:vAlign w:val="center"/>
          </w:tcPr>
          <w:p w:rsidR="00C01FEB" w:rsidRDefault="00A30BF2">
            <w:pPr>
              <w:spacing w:before="20" w:after="20" w:line="264" w:lineRule="auto"/>
              <w:rPr>
                <w:lang w:eastAsia="zh-CN"/>
              </w:rPr>
            </w:pPr>
            <w:r>
              <w:rPr>
                <w:color w:val="000000"/>
                <w:sz w:val="18"/>
                <w:lang w:eastAsia="zh-CN"/>
              </w:rPr>
              <w:t>颗粒做出来有多粗、多长，也就是“料形”</w:t>
            </w:r>
          </w:p>
        </w:tc>
        <w:tc>
          <w:tcPr>
            <w:tcW w:w="2665" w:type="dxa"/>
            <w:vAlign w:val="center"/>
          </w:tcPr>
          <w:p w:rsidR="00C01FEB" w:rsidRDefault="00A30BF2">
            <w:pPr>
              <w:spacing w:before="20" w:after="20" w:line="264" w:lineRule="auto"/>
              <w:rPr>
                <w:lang w:eastAsia="zh-CN"/>
              </w:rPr>
            </w:pPr>
            <w:r>
              <w:rPr>
                <w:color w:val="000000"/>
                <w:sz w:val="18"/>
                <w:lang w:eastAsia="zh-CN"/>
              </w:rPr>
              <w:t>太细太碎会从</w:t>
            </w:r>
            <w:proofErr w:type="gramStart"/>
            <w:r>
              <w:rPr>
                <w:color w:val="000000"/>
                <w:sz w:val="18"/>
                <w:lang w:eastAsia="zh-CN"/>
              </w:rPr>
              <w:t>炉排缝漏下去</w:t>
            </w:r>
            <w:proofErr w:type="gramEnd"/>
            <w:r>
              <w:rPr>
                <w:color w:val="000000"/>
                <w:sz w:val="18"/>
                <w:lang w:eastAsia="zh-CN"/>
              </w:rPr>
              <w:t>、被烟气抽走；太粗太长则通风不均、烧不透，出现夹生料</w:t>
            </w:r>
          </w:p>
        </w:tc>
        <w:tc>
          <w:tcPr>
            <w:tcW w:w="794" w:type="dxa"/>
            <w:vAlign w:val="center"/>
          </w:tcPr>
          <w:p w:rsidR="00C01FEB" w:rsidRDefault="00A30BF2">
            <w:pPr>
              <w:spacing w:before="20" w:after="20" w:line="264" w:lineRule="auto"/>
            </w:pPr>
            <w:proofErr w:type="spellStart"/>
            <w:r>
              <w:rPr>
                <w:color w:val="000000"/>
                <w:sz w:val="18"/>
              </w:rPr>
              <w:t>核心项</w:t>
            </w:r>
            <w:proofErr w:type="spellEnd"/>
          </w:p>
        </w:tc>
      </w:tr>
      <w:tr w:rsidR="00C01FEB">
        <w:trPr>
          <w:jc w:val="center"/>
        </w:trPr>
        <w:tc>
          <w:tcPr>
            <w:tcW w:w="1134" w:type="dxa"/>
            <w:vAlign w:val="center"/>
          </w:tcPr>
          <w:p w:rsidR="00C01FEB" w:rsidRDefault="00A30BF2">
            <w:pPr>
              <w:spacing w:before="20" w:after="20" w:line="264" w:lineRule="auto"/>
              <w:jc w:val="center"/>
            </w:pPr>
            <w:r>
              <w:rPr>
                <w:color w:val="000000"/>
                <w:sz w:val="18"/>
              </w:rPr>
              <w:t>碎末、粉末含量</w:t>
            </w:r>
          </w:p>
        </w:tc>
        <w:tc>
          <w:tcPr>
            <w:tcW w:w="737" w:type="dxa"/>
            <w:vAlign w:val="center"/>
          </w:tcPr>
          <w:p w:rsidR="00C01FEB" w:rsidRDefault="00A30BF2">
            <w:pPr>
              <w:spacing w:before="20" w:after="20" w:line="264" w:lineRule="auto"/>
              <w:jc w:val="center"/>
            </w:pPr>
            <w:r>
              <w:rPr>
                <w:color w:val="000000"/>
                <w:sz w:val="18"/>
              </w:rPr>
              <w:t>%</w:t>
            </w:r>
          </w:p>
        </w:tc>
        <w:tc>
          <w:tcPr>
            <w:tcW w:w="1644" w:type="dxa"/>
            <w:vAlign w:val="center"/>
          </w:tcPr>
          <w:p w:rsidR="00C01FEB" w:rsidRDefault="00A30BF2">
            <w:pPr>
              <w:spacing w:before="20" w:after="20" w:line="264" w:lineRule="auto"/>
              <w:jc w:val="center"/>
            </w:pPr>
            <w:r>
              <w:rPr>
                <w:color w:val="000000"/>
                <w:sz w:val="18"/>
              </w:rPr>
              <w:t>≤ 5（＞8 拒收）</w:t>
            </w:r>
          </w:p>
        </w:tc>
        <w:tc>
          <w:tcPr>
            <w:tcW w:w="2211" w:type="dxa"/>
            <w:vAlign w:val="center"/>
          </w:tcPr>
          <w:p w:rsidR="00C01FEB" w:rsidRDefault="00A30BF2">
            <w:pPr>
              <w:spacing w:before="20" w:after="20" w:line="264" w:lineRule="auto"/>
            </w:pPr>
            <w:r>
              <w:rPr>
                <w:color w:val="000000"/>
                <w:sz w:val="18"/>
              </w:rPr>
              <w:t>一堆料里有多少是碎渣子和粉末</w:t>
            </w:r>
          </w:p>
        </w:tc>
        <w:tc>
          <w:tcPr>
            <w:tcW w:w="2665" w:type="dxa"/>
            <w:vAlign w:val="center"/>
          </w:tcPr>
          <w:p w:rsidR="00C01FEB" w:rsidRDefault="00A30BF2">
            <w:pPr>
              <w:spacing w:before="20" w:after="20" w:line="264" w:lineRule="auto"/>
              <w:rPr>
                <w:lang w:eastAsia="zh-CN"/>
              </w:rPr>
            </w:pPr>
            <w:r>
              <w:rPr>
                <w:color w:val="000000"/>
                <w:sz w:val="18"/>
                <w:lang w:eastAsia="zh-CN"/>
              </w:rPr>
              <w:t>碎末堵炉排、堵下料口，燃烧不均、冒黑烟；运输和上料过程中损耗也大</w:t>
            </w:r>
          </w:p>
        </w:tc>
        <w:tc>
          <w:tcPr>
            <w:tcW w:w="794" w:type="dxa"/>
            <w:vAlign w:val="center"/>
          </w:tcPr>
          <w:p w:rsidR="00C01FEB" w:rsidRDefault="00A30BF2">
            <w:pPr>
              <w:spacing w:before="20" w:after="20" w:line="264" w:lineRule="auto"/>
            </w:pPr>
            <w:bookmarkStart w:id="0" w:name="OLE_LINK1"/>
            <w:bookmarkStart w:id="1" w:name="OLE_LINK2"/>
            <w:proofErr w:type="spellStart"/>
            <w:r>
              <w:rPr>
                <w:color w:val="000000"/>
                <w:sz w:val="18"/>
              </w:rPr>
              <w:t>核心项</w:t>
            </w:r>
            <w:bookmarkEnd w:id="0"/>
            <w:bookmarkEnd w:id="1"/>
            <w:proofErr w:type="spellEnd"/>
          </w:p>
        </w:tc>
      </w:tr>
      <w:tr w:rsidR="00C01FEB">
        <w:trPr>
          <w:jc w:val="center"/>
        </w:trPr>
        <w:tc>
          <w:tcPr>
            <w:tcW w:w="1134" w:type="dxa"/>
            <w:vAlign w:val="center"/>
          </w:tcPr>
          <w:p w:rsidR="00C01FEB" w:rsidRDefault="00A30BF2">
            <w:pPr>
              <w:spacing w:before="20" w:after="20" w:line="264" w:lineRule="auto"/>
              <w:jc w:val="center"/>
            </w:pPr>
            <w:r>
              <w:rPr>
                <w:color w:val="000000"/>
                <w:sz w:val="18"/>
              </w:rPr>
              <w:t>全水分（Mt）</w:t>
            </w:r>
          </w:p>
        </w:tc>
        <w:tc>
          <w:tcPr>
            <w:tcW w:w="737" w:type="dxa"/>
            <w:vAlign w:val="center"/>
          </w:tcPr>
          <w:p w:rsidR="00C01FEB" w:rsidRDefault="00A30BF2">
            <w:pPr>
              <w:spacing w:before="20" w:after="20" w:line="264" w:lineRule="auto"/>
              <w:jc w:val="center"/>
            </w:pPr>
            <w:r>
              <w:rPr>
                <w:color w:val="000000"/>
                <w:sz w:val="18"/>
              </w:rPr>
              <w:t>%</w:t>
            </w:r>
          </w:p>
        </w:tc>
        <w:tc>
          <w:tcPr>
            <w:tcW w:w="1644" w:type="dxa"/>
            <w:vAlign w:val="center"/>
          </w:tcPr>
          <w:p w:rsidR="00C01FEB" w:rsidRDefault="009A25D5">
            <w:pPr>
              <w:spacing w:before="20" w:after="20" w:line="264" w:lineRule="auto"/>
              <w:jc w:val="center"/>
            </w:pPr>
            <w:r>
              <w:rPr>
                <w:color w:val="000000"/>
                <w:sz w:val="18"/>
              </w:rPr>
              <w:t>≤ 6</w:t>
            </w:r>
          </w:p>
        </w:tc>
        <w:tc>
          <w:tcPr>
            <w:tcW w:w="2211" w:type="dxa"/>
            <w:vAlign w:val="center"/>
          </w:tcPr>
          <w:p w:rsidR="00C01FEB" w:rsidRDefault="00A30BF2">
            <w:pPr>
              <w:spacing w:before="20" w:after="20" w:line="264" w:lineRule="auto"/>
              <w:rPr>
                <w:lang w:eastAsia="zh-CN"/>
              </w:rPr>
            </w:pPr>
            <w:r>
              <w:rPr>
                <w:color w:val="000000"/>
                <w:sz w:val="18"/>
                <w:lang w:eastAsia="zh-CN"/>
              </w:rPr>
              <w:t>燃料的总含水量（表面水＋内部水），比“水分”口径更宽</w:t>
            </w:r>
          </w:p>
        </w:tc>
        <w:tc>
          <w:tcPr>
            <w:tcW w:w="2665" w:type="dxa"/>
            <w:vAlign w:val="center"/>
          </w:tcPr>
          <w:p w:rsidR="00C01FEB" w:rsidRDefault="00A30BF2">
            <w:pPr>
              <w:spacing w:before="20" w:after="20" w:line="264" w:lineRule="auto"/>
              <w:rPr>
                <w:lang w:eastAsia="zh-CN"/>
              </w:rPr>
            </w:pPr>
            <w:r>
              <w:rPr>
                <w:color w:val="000000"/>
                <w:sz w:val="18"/>
                <w:lang w:eastAsia="zh-CN"/>
              </w:rPr>
              <w:t>湿料压秤、易霉变、易自燃，存放时间短；入炉后同样影响燃烧</w:t>
            </w:r>
          </w:p>
        </w:tc>
        <w:tc>
          <w:tcPr>
            <w:tcW w:w="794" w:type="dxa"/>
            <w:vAlign w:val="center"/>
          </w:tcPr>
          <w:p w:rsidR="00C01FEB" w:rsidRDefault="00C01FEB">
            <w:pPr>
              <w:spacing w:before="20" w:after="20" w:line="264" w:lineRule="auto"/>
              <w:rPr>
                <w:lang w:eastAsia="zh-CN"/>
              </w:rPr>
            </w:pPr>
          </w:p>
        </w:tc>
      </w:tr>
      <w:tr w:rsidR="00C01FEB">
        <w:trPr>
          <w:jc w:val="center"/>
        </w:trPr>
        <w:tc>
          <w:tcPr>
            <w:tcW w:w="1134" w:type="dxa"/>
            <w:vAlign w:val="center"/>
          </w:tcPr>
          <w:p w:rsidR="00C01FEB" w:rsidRDefault="00A30BF2">
            <w:pPr>
              <w:spacing w:before="20" w:after="20" w:line="264" w:lineRule="auto"/>
              <w:jc w:val="center"/>
            </w:pPr>
            <w:proofErr w:type="spellStart"/>
            <w:r>
              <w:rPr>
                <w:color w:val="000000"/>
                <w:sz w:val="18"/>
              </w:rPr>
              <w:t>全硫（St</w:t>
            </w:r>
            <w:proofErr w:type="spellEnd"/>
            <w:r>
              <w:rPr>
                <w:color w:val="000000"/>
                <w:sz w:val="18"/>
              </w:rPr>
              <w:t>）</w:t>
            </w:r>
          </w:p>
        </w:tc>
        <w:tc>
          <w:tcPr>
            <w:tcW w:w="737" w:type="dxa"/>
            <w:vAlign w:val="center"/>
          </w:tcPr>
          <w:p w:rsidR="00C01FEB" w:rsidRDefault="00A30BF2">
            <w:pPr>
              <w:spacing w:before="20" w:after="20" w:line="264" w:lineRule="auto"/>
              <w:jc w:val="center"/>
            </w:pPr>
            <w:r>
              <w:rPr>
                <w:color w:val="000000"/>
                <w:sz w:val="18"/>
              </w:rPr>
              <w:t>%</w:t>
            </w:r>
          </w:p>
        </w:tc>
        <w:tc>
          <w:tcPr>
            <w:tcW w:w="1644" w:type="dxa"/>
            <w:vAlign w:val="center"/>
          </w:tcPr>
          <w:p w:rsidR="00C01FEB" w:rsidRDefault="00A30BF2">
            <w:pPr>
              <w:spacing w:before="20" w:after="20" w:line="264" w:lineRule="auto"/>
              <w:jc w:val="center"/>
            </w:pPr>
            <w:r>
              <w:rPr>
                <w:color w:val="000000"/>
                <w:sz w:val="18"/>
              </w:rPr>
              <w:t>≤ 0.03</w:t>
            </w:r>
          </w:p>
        </w:tc>
        <w:tc>
          <w:tcPr>
            <w:tcW w:w="2211" w:type="dxa"/>
            <w:vAlign w:val="center"/>
          </w:tcPr>
          <w:p w:rsidR="00C01FEB" w:rsidRDefault="00A30BF2">
            <w:pPr>
              <w:spacing w:before="20" w:after="20" w:line="264" w:lineRule="auto"/>
            </w:pPr>
            <w:r>
              <w:rPr>
                <w:color w:val="000000"/>
                <w:sz w:val="18"/>
              </w:rPr>
              <w:t>燃料里硫元素的含量</w:t>
            </w:r>
          </w:p>
        </w:tc>
        <w:tc>
          <w:tcPr>
            <w:tcW w:w="2665" w:type="dxa"/>
            <w:vAlign w:val="center"/>
          </w:tcPr>
          <w:p w:rsidR="00C01FEB" w:rsidRDefault="00A30BF2">
            <w:pPr>
              <w:spacing w:before="20" w:after="20" w:line="264" w:lineRule="auto"/>
              <w:rPr>
                <w:lang w:eastAsia="zh-CN"/>
              </w:rPr>
            </w:pPr>
            <w:r>
              <w:rPr>
                <w:color w:val="000000"/>
                <w:sz w:val="18"/>
                <w:lang w:eastAsia="zh-CN"/>
              </w:rPr>
              <w:t>硫燃烧生成二氧化硫，腐蚀锅炉受热面和烟道，还容易造成排放超标</w:t>
            </w:r>
          </w:p>
        </w:tc>
        <w:tc>
          <w:tcPr>
            <w:tcW w:w="794" w:type="dxa"/>
            <w:vAlign w:val="center"/>
          </w:tcPr>
          <w:p w:rsidR="00C01FEB" w:rsidRDefault="00C01FEB">
            <w:pPr>
              <w:spacing w:before="20" w:after="20" w:line="264" w:lineRule="auto"/>
              <w:rPr>
                <w:lang w:eastAsia="zh-CN"/>
              </w:rPr>
            </w:pPr>
          </w:p>
        </w:tc>
      </w:tr>
      <w:tr w:rsidR="00C01FEB">
        <w:trPr>
          <w:jc w:val="center"/>
        </w:trPr>
        <w:tc>
          <w:tcPr>
            <w:tcW w:w="1134" w:type="dxa"/>
            <w:vAlign w:val="center"/>
          </w:tcPr>
          <w:p w:rsidR="00C01FEB" w:rsidRDefault="00A30BF2">
            <w:pPr>
              <w:spacing w:before="20" w:after="20" w:line="264" w:lineRule="auto"/>
              <w:jc w:val="center"/>
            </w:pPr>
            <w:proofErr w:type="spellStart"/>
            <w:r>
              <w:rPr>
                <w:color w:val="000000"/>
                <w:sz w:val="18"/>
              </w:rPr>
              <w:t>氯（Cl</w:t>
            </w:r>
            <w:proofErr w:type="spellEnd"/>
            <w:r>
              <w:rPr>
                <w:color w:val="000000"/>
                <w:sz w:val="18"/>
              </w:rPr>
              <w:t>）</w:t>
            </w:r>
          </w:p>
        </w:tc>
        <w:tc>
          <w:tcPr>
            <w:tcW w:w="737" w:type="dxa"/>
            <w:vAlign w:val="center"/>
          </w:tcPr>
          <w:p w:rsidR="00C01FEB" w:rsidRDefault="00A30BF2">
            <w:pPr>
              <w:spacing w:before="20" w:after="20" w:line="264" w:lineRule="auto"/>
              <w:jc w:val="center"/>
            </w:pPr>
            <w:r>
              <w:rPr>
                <w:color w:val="000000"/>
                <w:sz w:val="18"/>
              </w:rPr>
              <w:t>%</w:t>
            </w:r>
          </w:p>
        </w:tc>
        <w:tc>
          <w:tcPr>
            <w:tcW w:w="1644" w:type="dxa"/>
            <w:vAlign w:val="center"/>
          </w:tcPr>
          <w:p w:rsidR="00C01FEB" w:rsidRDefault="00A30BF2">
            <w:pPr>
              <w:spacing w:before="20" w:after="20" w:line="264" w:lineRule="auto"/>
              <w:jc w:val="center"/>
            </w:pPr>
            <w:r>
              <w:rPr>
                <w:color w:val="000000"/>
                <w:sz w:val="18"/>
              </w:rPr>
              <w:t>≤ 0.05</w:t>
            </w:r>
          </w:p>
        </w:tc>
        <w:tc>
          <w:tcPr>
            <w:tcW w:w="2211" w:type="dxa"/>
            <w:vAlign w:val="center"/>
          </w:tcPr>
          <w:p w:rsidR="00C01FEB" w:rsidRDefault="00A30BF2">
            <w:pPr>
              <w:spacing w:before="20" w:after="20" w:line="264" w:lineRule="auto"/>
            </w:pPr>
            <w:r>
              <w:rPr>
                <w:color w:val="000000"/>
                <w:sz w:val="18"/>
              </w:rPr>
              <w:t>燃料里氯元素的含量</w:t>
            </w:r>
          </w:p>
        </w:tc>
        <w:tc>
          <w:tcPr>
            <w:tcW w:w="2665" w:type="dxa"/>
            <w:vAlign w:val="center"/>
          </w:tcPr>
          <w:p w:rsidR="00C01FEB" w:rsidRDefault="00A30BF2">
            <w:pPr>
              <w:spacing w:before="20" w:after="20" w:line="264" w:lineRule="auto"/>
              <w:rPr>
                <w:lang w:eastAsia="zh-CN"/>
              </w:rPr>
            </w:pPr>
            <w:r>
              <w:rPr>
                <w:color w:val="000000"/>
                <w:sz w:val="18"/>
                <w:lang w:eastAsia="zh-CN"/>
              </w:rPr>
              <w:t>氯会腐蚀锅炉受热面，并和灰中的钾钠一起造成结焦、积灰，是生物质炉最怕的指标之一</w:t>
            </w:r>
          </w:p>
        </w:tc>
        <w:tc>
          <w:tcPr>
            <w:tcW w:w="794" w:type="dxa"/>
            <w:vAlign w:val="center"/>
          </w:tcPr>
          <w:p w:rsidR="00C01FEB" w:rsidRDefault="00C01FEB">
            <w:pPr>
              <w:spacing w:before="20" w:after="20" w:line="264" w:lineRule="auto"/>
              <w:rPr>
                <w:lang w:eastAsia="zh-CN"/>
              </w:rPr>
            </w:pPr>
          </w:p>
        </w:tc>
      </w:tr>
      <w:tr w:rsidR="00C01FEB">
        <w:trPr>
          <w:jc w:val="center"/>
        </w:trPr>
        <w:tc>
          <w:tcPr>
            <w:tcW w:w="1134" w:type="dxa"/>
            <w:vAlign w:val="center"/>
          </w:tcPr>
          <w:p w:rsidR="00C01FEB" w:rsidRDefault="00A30BF2">
            <w:pPr>
              <w:spacing w:before="20" w:after="20" w:line="264" w:lineRule="auto"/>
              <w:jc w:val="center"/>
            </w:pPr>
            <w:proofErr w:type="spellStart"/>
            <w:r>
              <w:rPr>
                <w:color w:val="000000"/>
                <w:sz w:val="18"/>
              </w:rPr>
              <w:t>挥发分（V</w:t>
            </w:r>
            <w:proofErr w:type="spellEnd"/>
            <w:r>
              <w:rPr>
                <w:color w:val="000000"/>
                <w:sz w:val="18"/>
              </w:rPr>
              <w:t>）</w:t>
            </w:r>
          </w:p>
        </w:tc>
        <w:tc>
          <w:tcPr>
            <w:tcW w:w="737" w:type="dxa"/>
            <w:vAlign w:val="center"/>
          </w:tcPr>
          <w:p w:rsidR="00C01FEB" w:rsidRDefault="00A30BF2">
            <w:pPr>
              <w:spacing w:before="20" w:after="20" w:line="264" w:lineRule="auto"/>
              <w:jc w:val="center"/>
            </w:pPr>
            <w:r>
              <w:rPr>
                <w:color w:val="000000"/>
                <w:sz w:val="18"/>
              </w:rPr>
              <w:t>%</w:t>
            </w:r>
          </w:p>
        </w:tc>
        <w:tc>
          <w:tcPr>
            <w:tcW w:w="1644" w:type="dxa"/>
            <w:vAlign w:val="center"/>
          </w:tcPr>
          <w:p w:rsidR="00C01FEB" w:rsidRDefault="00A30BF2">
            <w:pPr>
              <w:spacing w:before="20" w:after="20" w:line="264" w:lineRule="auto"/>
              <w:jc w:val="center"/>
            </w:pPr>
            <w:r>
              <w:rPr>
                <w:color w:val="000000"/>
                <w:sz w:val="18"/>
              </w:rPr>
              <w:t>≥ 70（干燥基）</w:t>
            </w:r>
          </w:p>
        </w:tc>
        <w:tc>
          <w:tcPr>
            <w:tcW w:w="2211" w:type="dxa"/>
            <w:vAlign w:val="center"/>
          </w:tcPr>
          <w:p w:rsidR="00C01FEB" w:rsidRDefault="00A30BF2">
            <w:pPr>
              <w:spacing w:before="20" w:after="20" w:line="264" w:lineRule="auto"/>
              <w:rPr>
                <w:lang w:eastAsia="zh-CN"/>
              </w:rPr>
            </w:pPr>
            <w:r>
              <w:rPr>
                <w:color w:val="000000"/>
                <w:sz w:val="18"/>
                <w:lang w:eastAsia="zh-CN"/>
              </w:rPr>
              <w:t>加热后能跑出来的可燃气体有多少，决定好不好点火、火焰长不长</w:t>
            </w:r>
          </w:p>
        </w:tc>
        <w:tc>
          <w:tcPr>
            <w:tcW w:w="2665" w:type="dxa"/>
            <w:vAlign w:val="center"/>
          </w:tcPr>
          <w:p w:rsidR="00C01FEB" w:rsidRDefault="00A30BF2">
            <w:pPr>
              <w:spacing w:before="20" w:after="20" w:line="264" w:lineRule="auto"/>
              <w:rPr>
                <w:lang w:eastAsia="zh-CN"/>
              </w:rPr>
            </w:pPr>
            <w:r>
              <w:rPr>
                <w:color w:val="000000"/>
                <w:sz w:val="18"/>
                <w:lang w:eastAsia="zh-CN"/>
              </w:rPr>
              <w:t>挥发分低，点火慢、火焰短、燃烧不稳，容易出现“看着有火、温度上不去”</w:t>
            </w:r>
          </w:p>
        </w:tc>
        <w:tc>
          <w:tcPr>
            <w:tcW w:w="794" w:type="dxa"/>
            <w:vAlign w:val="center"/>
          </w:tcPr>
          <w:p w:rsidR="00C01FEB" w:rsidRDefault="00C01FEB">
            <w:pPr>
              <w:spacing w:before="20" w:after="20" w:line="264" w:lineRule="auto"/>
              <w:rPr>
                <w:lang w:eastAsia="zh-CN"/>
              </w:rPr>
            </w:pPr>
          </w:p>
        </w:tc>
      </w:tr>
    </w:tbl>
    <w:p w:rsidR="00C01FEB" w:rsidRDefault="00C01FEB">
      <w:pPr>
        <w:spacing w:after="0" w:line="293" w:lineRule="auto"/>
        <w:rPr>
          <w:lang w:eastAsia="zh-CN"/>
        </w:rPr>
      </w:pPr>
    </w:p>
    <w:p w:rsidR="00C01FEB" w:rsidRDefault="00A30BF2">
      <w:pPr>
        <w:spacing w:before="180" w:after="80" w:line="293" w:lineRule="auto"/>
        <w:rPr>
          <w:lang w:eastAsia="zh-CN"/>
        </w:rPr>
      </w:pPr>
      <w:r>
        <w:rPr>
          <w:rFonts w:ascii="黑体" w:eastAsia="黑体" w:hAnsi="黑体"/>
          <w:b/>
          <w:color w:val="000000"/>
          <w:sz w:val="25"/>
          <w:lang w:eastAsia="zh-CN"/>
        </w:rPr>
        <w:t>三、供货方式、供货能力与响应时间</w:t>
      </w:r>
    </w:p>
    <w:p w:rsidR="00C01FEB" w:rsidRDefault="00A30BF2">
      <w:pPr>
        <w:spacing w:after="60" w:line="293" w:lineRule="auto"/>
        <w:rPr>
          <w:lang w:eastAsia="zh-CN"/>
        </w:rPr>
      </w:pPr>
      <w:r>
        <w:rPr>
          <w:color w:val="000000"/>
          <w:lang w:eastAsia="zh-CN"/>
        </w:rPr>
        <w:t>1. 供货方式：分批次供货。我方按锅炉用量分批下达供货通知（电话、微信、企业微信、书面任一种），供应商按通知的数量和时间送货到厂。</w:t>
      </w:r>
    </w:p>
    <w:p w:rsidR="00C01FEB" w:rsidRDefault="00A30BF2">
      <w:pPr>
        <w:spacing w:after="60" w:line="293" w:lineRule="auto"/>
        <w:rPr>
          <w:lang w:eastAsia="zh-CN"/>
        </w:rPr>
      </w:pPr>
      <w:r>
        <w:rPr>
          <w:color w:val="000000"/>
          <w:lang w:eastAsia="zh-CN"/>
        </w:rPr>
        <w:t>2. 响应时间：收到我方供货通知后 3 天内（72 小时）送到厂区。不得以“凑车”“拼车”“等大单”为由拖延，也不得因为单次要货少就拒绝送货或加价。</w:t>
      </w:r>
    </w:p>
    <w:p w:rsidR="00C01FEB" w:rsidRDefault="009A25D5">
      <w:pPr>
        <w:spacing w:after="60" w:line="293" w:lineRule="auto"/>
        <w:rPr>
          <w:lang w:eastAsia="zh-CN"/>
        </w:rPr>
      </w:pPr>
      <w:r>
        <w:rPr>
          <w:color w:val="000000"/>
          <w:lang w:eastAsia="zh-CN"/>
        </w:rPr>
        <w:lastRenderedPageBreak/>
        <w:t>3</w:t>
      </w:r>
      <w:r w:rsidR="00A30BF2">
        <w:rPr>
          <w:color w:val="000000"/>
          <w:lang w:eastAsia="zh-CN"/>
        </w:rPr>
        <w:t>. 运输卸车：由供应商负责送货到厂并卸车，运费、装卸费由供应商承担；运输途中雨淋、受潮、撒漏造成的损失由供应商负责。</w:t>
      </w:r>
    </w:p>
    <w:p w:rsidR="00C01FEB" w:rsidRDefault="009A25D5">
      <w:pPr>
        <w:spacing w:after="60" w:line="293" w:lineRule="auto"/>
        <w:rPr>
          <w:lang w:eastAsia="zh-CN"/>
        </w:rPr>
      </w:pPr>
      <w:r>
        <w:rPr>
          <w:color w:val="000000"/>
          <w:lang w:eastAsia="zh-CN"/>
        </w:rPr>
        <w:t>4</w:t>
      </w:r>
      <w:r w:rsidR="00A30BF2">
        <w:rPr>
          <w:color w:val="000000"/>
          <w:lang w:eastAsia="zh-CN"/>
        </w:rPr>
        <w:t>. 随车资料：</w:t>
      </w:r>
      <w:proofErr w:type="gramStart"/>
      <w:r w:rsidR="00A30BF2">
        <w:rPr>
          <w:color w:val="000000"/>
          <w:lang w:eastAsia="zh-CN"/>
        </w:rPr>
        <w:t>每批货随车带</w:t>
      </w:r>
      <w:proofErr w:type="gramEnd"/>
      <w:r w:rsidR="00A30BF2">
        <w:rPr>
          <w:color w:val="000000"/>
          <w:lang w:eastAsia="zh-CN"/>
        </w:rPr>
        <w:t>出厂磅单、出厂质量证明（检验报告）</w:t>
      </w:r>
    </w:p>
    <w:p w:rsidR="00C01FEB" w:rsidRDefault="00A30BF2">
      <w:pPr>
        <w:spacing w:before="180" w:after="80" w:line="293" w:lineRule="auto"/>
        <w:rPr>
          <w:lang w:eastAsia="zh-CN"/>
        </w:rPr>
      </w:pPr>
      <w:r>
        <w:rPr>
          <w:rFonts w:ascii="黑体" w:eastAsia="黑体" w:hAnsi="黑体"/>
          <w:b/>
          <w:color w:val="000000"/>
          <w:sz w:val="25"/>
          <w:lang w:eastAsia="zh-CN"/>
        </w:rPr>
        <w:t>四、验收与拒收</w:t>
      </w:r>
    </w:p>
    <w:p w:rsidR="00C01FEB" w:rsidRDefault="00A30BF2">
      <w:pPr>
        <w:spacing w:after="60" w:line="293" w:lineRule="auto"/>
        <w:rPr>
          <w:lang w:eastAsia="zh-CN"/>
        </w:rPr>
      </w:pPr>
      <w:r>
        <w:rPr>
          <w:color w:val="000000"/>
          <w:lang w:eastAsia="zh-CN"/>
        </w:rPr>
        <w:t>1. 每批次到厂验收。水分、灰分、粒度、碎末、发热量为必检项目。</w:t>
      </w:r>
    </w:p>
    <w:p w:rsidR="00C01FEB" w:rsidRDefault="00A30BF2">
      <w:pPr>
        <w:spacing w:after="60" w:line="293" w:lineRule="auto"/>
        <w:rPr>
          <w:lang w:eastAsia="zh-CN"/>
        </w:rPr>
      </w:pPr>
      <w:r>
        <w:rPr>
          <w:color w:val="000000"/>
          <w:lang w:eastAsia="zh-CN"/>
        </w:rPr>
        <w:t xml:space="preserve">2. 验收流程：车到场 → 看外观、颜色、有无杂质 → </w:t>
      </w:r>
      <w:r w:rsidR="009A25D5">
        <w:rPr>
          <w:rFonts w:hint="eastAsia"/>
          <w:color w:val="000000"/>
          <w:lang w:eastAsia="zh-CN"/>
        </w:rPr>
        <w:t>试烧</w:t>
      </w:r>
      <w:r>
        <w:rPr>
          <w:color w:val="000000"/>
          <w:lang w:eastAsia="zh-CN"/>
        </w:rPr>
        <w:t xml:space="preserve"> → </w:t>
      </w:r>
      <w:r w:rsidR="009A25D5">
        <w:rPr>
          <w:rFonts w:hint="eastAsia"/>
          <w:color w:val="000000"/>
          <w:lang w:eastAsia="zh-CN"/>
        </w:rPr>
        <w:t>看燃烧状态，正常则验收。不正常则申请检测</w:t>
      </w:r>
      <w:r>
        <w:rPr>
          <w:color w:val="000000"/>
          <w:lang w:eastAsia="zh-CN"/>
        </w:rPr>
        <w:t>。</w:t>
      </w:r>
    </w:p>
    <w:p w:rsidR="00C01FEB" w:rsidRDefault="00A30BF2">
      <w:pPr>
        <w:spacing w:after="60" w:line="293" w:lineRule="auto"/>
        <w:rPr>
          <w:lang w:eastAsia="zh-CN"/>
        </w:rPr>
      </w:pPr>
      <w:r>
        <w:rPr>
          <w:color w:val="000000"/>
          <w:lang w:eastAsia="zh-CN"/>
        </w:rPr>
        <w:t>3. 现场拒收（收货人有权直接拒收、不予卸货）：</w:t>
      </w:r>
    </w:p>
    <w:p w:rsidR="00C01FEB" w:rsidRDefault="00A30BF2">
      <w:pPr>
        <w:spacing w:after="60" w:line="293" w:lineRule="auto"/>
        <w:rPr>
          <w:lang w:eastAsia="zh-CN"/>
        </w:rPr>
      </w:pPr>
      <w:r>
        <w:rPr>
          <w:color w:val="000000"/>
          <w:lang w:eastAsia="zh-CN"/>
        </w:rPr>
        <w:t>（1）水分、灰分、粒度、碎末、发热量任一项不合格；</w:t>
      </w:r>
    </w:p>
    <w:p w:rsidR="00C01FEB" w:rsidRDefault="00A30BF2">
      <w:pPr>
        <w:spacing w:after="60" w:line="293" w:lineRule="auto"/>
        <w:rPr>
          <w:lang w:eastAsia="zh-CN"/>
        </w:rPr>
      </w:pPr>
      <w:r>
        <w:rPr>
          <w:color w:val="000000"/>
          <w:lang w:eastAsia="zh-CN"/>
        </w:rPr>
        <w:t>（2）料里夹带泥沙、石块、塑料、金属、霉变料，或以次充好、掺混其他原料；</w:t>
      </w:r>
    </w:p>
    <w:p w:rsidR="00C01FEB" w:rsidRDefault="00A30BF2">
      <w:pPr>
        <w:spacing w:after="60" w:line="293" w:lineRule="auto"/>
        <w:rPr>
          <w:lang w:eastAsia="zh-CN"/>
        </w:rPr>
      </w:pPr>
      <w:r>
        <w:rPr>
          <w:color w:val="000000"/>
          <w:lang w:eastAsia="zh-CN"/>
        </w:rPr>
        <w:t>（3）雨淋受潮、结块严重。</w:t>
      </w:r>
    </w:p>
    <w:p w:rsidR="00C01FEB" w:rsidRDefault="00A30BF2">
      <w:pPr>
        <w:spacing w:after="60" w:line="293" w:lineRule="auto"/>
        <w:rPr>
          <w:lang w:eastAsia="zh-CN"/>
        </w:rPr>
      </w:pPr>
      <w:r>
        <w:rPr>
          <w:color w:val="000000"/>
          <w:lang w:eastAsia="zh-CN"/>
        </w:rPr>
        <w:t>4. 被拒收的批次由供应商自行拉回处理，往返运费和损失由供应商承担。同</w:t>
      </w:r>
      <w:proofErr w:type="gramStart"/>
      <w:r>
        <w:rPr>
          <w:color w:val="000000"/>
          <w:lang w:eastAsia="zh-CN"/>
        </w:rPr>
        <w:t>一供应</w:t>
      </w:r>
      <w:proofErr w:type="gramEnd"/>
      <w:r>
        <w:rPr>
          <w:color w:val="000000"/>
          <w:lang w:eastAsia="zh-CN"/>
        </w:rPr>
        <w:t>商累计 2 批次被拒收的，我方有权停止向其要货、取消中标资格并解除合同。</w:t>
      </w:r>
    </w:p>
    <w:p w:rsidR="00C01FEB" w:rsidRDefault="00A30BF2">
      <w:pPr>
        <w:spacing w:after="60" w:line="293" w:lineRule="auto"/>
        <w:rPr>
          <w:lang w:eastAsia="zh-CN"/>
        </w:rPr>
      </w:pPr>
      <w:r>
        <w:rPr>
          <w:color w:val="000000"/>
          <w:lang w:eastAsia="zh-CN"/>
        </w:rPr>
        <w:t>5. 不合格批次的换货：供应商在收到通知后 5 天内换货送到厂，费用自担。</w:t>
      </w:r>
    </w:p>
    <w:p w:rsidR="00C01FEB" w:rsidRDefault="00A30BF2">
      <w:pPr>
        <w:spacing w:before="180" w:after="80" w:line="293" w:lineRule="auto"/>
        <w:rPr>
          <w:lang w:eastAsia="zh-CN"/>
        </w:rPr>
      </w:pPr>
      <w:r>
        <w:rPr>
          <w:rFonts w:ascii="黑体" w:eastAsia="黑体" w:hAnsi="黑体"/>
          <w:b/>
          <w:color w:val="000000"/>
          <w:sz w:val="25"/>
          <w:lang w:eastAsia="zh-CN"/>
        </w:rPr>
        <w:t>五、检斤与计量</w:t>
      </w:r>
    </w:p>
    <w:p w:rsidR="00C01FEB" w:rsidRDefault="00A30BF2">
      <w:pPr>
        <w:spacing w:after="60" w:line="293" w:lineRule="auto"/>
        <w:rPr>
          <w:lang w:eastAsia="zh-CN"/>
        </w:rPr>
      </w:pPr>
      <w:r>
        <w:rPr>
          <w:color w:val="000000"/>
          <w:lang w:eastAsia="zh-CN"/>
        </w:rPr>
        <w:t>1. 到厂以我方现场地磅／吊钩秤称重为准。供应商随车携带的出厂</w:t>
      </w:r>
      <w:proofErr w:type="gramStart"/>
      <w:r>
        <w:rPr>
          <w:color w:val="000000"/>
          <w:lang w:eastAsia="zh-CN"/>
        </w:rPr>
        <w:t>磅</w:t>
      </w:r>
      <w:proofErr w:type="gramEnd"/>
      <w:r>
        <w:rPr>
          <w:color w:val="000000"/>
          <w:lang w:eastAsia="zh-CN"/>
        </w:rPr>
        <w:t>单只作核对，不作结算依据。</w:t>
      </w:r>
    </w:p>
    <w:p w:rsidR="00C01FEB" w:rsidRDefault="00A30BF2">
      <w:pPr>
        <w:spacing w:after="60" w:line="293" w:lineRule="auto"/>
        <w:rPr>
          <w:lang w:eastAsia="zh-CN"/>
        </w:rPr>
      </w:pPr>
      <w:r>
        <w:rPr>
          <w:color w:val="000000"/>
          <w:lang w:eastAsia="zh-CN"/>
        </w:rPr>
        <w:t>2. 差异处理：我方称重与对方</w:t>
      </w:r>
      <w:proofErr w:type="gramStart"/>
      <w:r>
        <w:rPr>
          <w:color w:val="000000"/>
          <w:lang w:eastAsia="zh-CN"/>
        </w:rPr>
        <w:t>磅</w:t>
      </w:r>
      <w:proofErr w:type="gramEnd"/>
      <w:r>
        <w:rPr>
          <w:color w:val="000000"/>
          <w:lang w:eastAsia="zh-CN"/>
        </w:rPr>
        <w:t>单相差在</w:t>
      </w:r>
      <w:r w:rsidR="00F97131">
        <w:rPr>
          <w:color w:val="000000"/>
          <w:lang w:eastAsia="zh-CN"/>
        </w:rPr>
        <w:t xml:space="preserve"> ±5</w:t>
      </w:r>
      <w:r>
        <w:rPr>
          <w:color w:val="000000"/>
          <w:lang w:eastAsia="zh-CN"/>
        </w:rPr>
        <w:t>‰（千分之三）以内，属正常误差和运输损耗，按</w:t>
      </w:r>
      <w:proofErr w:type="gramStart"/>
      <w:r>
        <w:rPr>
          <w:color w:val="000000"/>
          <w:lang w:eastAsia="zh-CN"/>
        </w:rPr>
        <w:t>对方磅单重量</w:t>
      </w:r>
      <w:proofErr w:type="gramEnd"/>
      <w:r>
        <w:rPr>
          <w:color w:val="000000"/>
          <w:lang w:eastAsia="zh-CN"/>
        </w:rPr>
        <w:t>结算；超过</w:t>
      </w:r>
      <w:r w:rsidR="00F97131">
        <w:rPr>
          <w:color w:val="000000"/>
          <w:lang w:eastAsia="zh-CN"/>
        </w:rPr>
        <w:t xml:space="preserve"> ±5</w:t>
      </w:r>
      <w:r>
        <w:rPr>
          <w:color w:val="000000"/>
          <w:lang w:eastAsia="zh-CN"/>
        </w:rPr>
        <w:t>‰，以我方称重为准。首次试用批或单批 30 吨以上的，放宽到</w:t>
      </w:r>
      <w:r w:rsidR="00F97131">
        <w:rPr>
          <w:color w:val="000000"/>
          <w:lang w:eastAsia="zh-CN"/>
        </w:rPr>
        <w:t xml:space="preserve"> ±10</w:t>
      </w:r>
      <w:r>
        <w:rPr>
          <w:color w:val="000000"/>
          <w:lang w:eastAsia="zh-CN"/>
        </w:rPr>
        <w:t>‰。</w:t>
      </w:r>
    </w:p>
    <w:p w:rsidR="00C01FEB" w:rsidRDefault="00A30BF2">
      <w:pPr>
        <w:spacing w:after="60" w:line="293" w:lineRule="auto"/>
        <w:rPr>
          <w:lang w:eastAsia="zh-CN"/>
        </w:rPr>
      </w:pPr>
      <w:r>
        <w:rPr>
          <w:color w:val="000000"/>
          <w:lang w:eastAsia="zh-CN"/>
        </w:rPr>
        <w:t xml:space="preserve">3. </w:t>
      </w:r>
      <w:r w:rsidR="00F97131">
        <w:rPr>
          <w:color w:val="000000"/>
          <w:lang w:eastAsia="zh-CN"/>
        </w:rPr>
        <w:t>有异议</w:t>
      </w:r>
      <w:r w:rsidR="00F97131">
        <w:rPr>
          <w:rFonts w:hint="eastAsia"/>
          <w:color w:val="000000"/>
          <w:lang w:eastAsia="zh-CN"/>
        </w:rPr>
        <w:t>三日内</w:t>
      </w:r>
      <w:r w:rsidR="00F97131">
        <w:rPr>
          <w:color w:val="000000"/>
          <w:lang w:eastAsia="zh-CN"/>
        </w:rPr>
        <w:t>提出，双方一起复磅；</w:t>
      </w:r>
      <w:r w:rsidR="00F97131">
        <w:rPr>
          <w:rFonts w:hint="eastAsia"/>
          <w:color w:val="000000"/>
          <w:lang w:eastAsia="zh-CN"/>
        </w:rPr>
        <w:t>三日内</w:t>
      </w:r>
      <w:r>
        <w:rPr>
          <w:color w:val="000000"/>
          <w:lang w:eastAsia="zh-CN"/>
        </w:rPr>
        <w:t>不提，视为认可我方称重结果。复磅仍有争议的，可请双方认可的第三方检定计量器具，费用由责任方承担。</w:t>
      </w:r>
      <w:bookmarkStart w:id="2" w:name="_GoBack"/>
      <w:bookmarkEnd w:id="2"/>
    </w:p>
    <w:p w:rsidR="00C01FEB" w:rsidRDefault="00A30BF2">
      <w:pPr>
        <w:spacing w:after="60" w:line="293" w:lineRule="auto"/>
        <w:rPr>
          <w:lang w:eastAsia="zh-CN"/>
        </w:rPr>
      </w:pPr>
      <w:r>
        <w:rPr>
          <w:color w:val="000000"/>
          <w:lang w:eastAsia="zh-CN"/>
        </w:rPr>
        <w:t>4. 结算数量按本条确定的数量</w:t>
      </w:r>
      <w:proofErr w:type="gramStart"/>
      <w:r>
        <w:rPr>
          <w:color w:val="000000"/>
          <w:lang w:eastAsia="zh-CN"/>
        </w:rPr>
        <w:t>乘合同</w:t>
      </w:r>
      <w:proofErr w:type="gramEnd"/>
      <w:r>
        <w:rPr>
          <w:color w:val="000000"/>
          <w:lang w:eastAsia="zh-CN"/>
        </w:rPr>
        <w:t>单价，每批次结算一次。</w:t>
      </w:r>
    </w:p>
    <w:p w:rsidR="00C01FEB" w:rsidRDefault="00A30BF2">
      <w:pPr>
        <w:spacing w:before="180" w:after="80" w:line="293" w:lineRule="auto"/>
        <w:rPr>
          <w:lang w:eastAsia="zh-CN"/>
        </w:rPr>
      </w:pPr>
      <w:r>
        <w:rPr>
          <w:rFonts w:ascii="黑体" w:eastAsia="黑体" w:hAnsi="黑体"/>
          <w:b/>
          <w:color w:val="000000"/>
          <w:sz w:val="25"/>
          <w:lang w:eastAsia="zh-CN"/>
        </w:rPr>
        <w:t>六、其他要求</w:t>
      </w:r>
    </w:p>
    <w:p w:rsidR="00C01FEB" w:rsidRDefault="00A30BF2">
      <w:pPr>
        <w:spacing w:after="60" w:line="293" w:lineRule="auto"/>
        <w:rPr>
          <w:lang w:eastAsia="zh-CN"/>
        </w:rPr>
      </w:pPr>
      <w:r>
        <w:rPr>
          <w:color w:val="000000"/>
          <w:lang w:eastAsia="zh-CN"/>
        </w:rPr>
        <w:t>1. 包装：吨袋装，由我方在供货通知中说明；</w:t>
      </w:r>
      <w:proofErr w:type="gramStart"/>
      <w:r>
        <w:rPr>
          <w:color w:val="000000"/>
          <w:lang w:eastAsia="zh-CN"/>
        </w:rPr>
        <w:t>吨袋由</w:t>
      </w:r>
      <w:proofErr w:type="gramEnd"/>
      <w:r>
        <w:rPr>
          <w:color w:val="000000"/>
          <w:lang w:eastAsia="zh-CN"/>
        </w:rPr>
        <w:t>供应商回收。</w:t>
      </w:r>
    </w:p>
    <w:p w:rsidR="00C01FEB" w:rsidRDefault="00A30BF2">
      <w:pPr>
        <w:spacing w:after="60" w:line="293" w:lineRule="auto"/>
        <w:rPr>
          <w:lang w:eastAsia="zh-CN"/>
        </w:rPr>
      </w:pPr>
      <w:r>
        <w:rPr>
          <w:color w:val="000000"/>
          <w:lang w:eastAsia="zh-CN"/>
        </w:rPr>
        <w:t>2. 运输车辆保持清洁，不得与煤炭、油污、垃圾等混装混运；防雨、防潮、防撒漏。</w:t>
      </w:r>
    </w:p>
    <w:p w:rsidR="00C01FEB" w:rsidRDefault="00A30BF2">
      <w:pPr>
        <w:spacing w:after="60" w:line="293" w:lineRule="auto"/>
        <w:rPr>
          <w:lang w:eastAsia="zh-CN"/>
        </w:rPr>
      </w:pPr>
      <w:r>
        <w:rPr>
          <w:color w:val="000000"/>
          <w:lang w:eastAsia="zh-CN"/>
        </w:rPr>
        <w:t>3. 进出厂区服从我方安全、环保、消防和车辆管理规定。</w:t>
      </w:r>
    </w:p>
    <w:p w:rsidR="00500FF9" w:rsidRDefault="00A30BF2">
      <w:pPr>
        <w:spacing w:after="60" w:line="293" w:lineRule="auto"/>
        <w:rPr>
          <w:lang w:eastAsia="zh-CN"/>
        </w:rPr>
      </w:pPr>
      <w:r>
        <w:rPr>
          <w:color w:val="000000"/>
          <w:lang w:eastAsia="zh-CN"/>
        </w:rPr>
        <w:t>4. 报价：按“元/吨”到</w:t>
      </w:r>
      <w:proofErr w:type="gramStart"/>
      <w:r>
        <w:rPr>
          <w:color w:val="000000"/>
          <w:lang w:eastAsia="zh-CN"/>
        </w:rPr>
        <w:t>厂</w:t>
      </w:r>
      <w:r w:rsidR="00500FF9">
        <w:rPr>
          <w:color w:val="000000"/>
          <w:lang w:eastAsia="zh-CN"/>
        </w:rPr>
        <w:t>含税单价报价</w:t>
      </w:r>
      <w:proofErr w:type="gramEnd"/>
      <w:r w:rsidR="00500FF9">
        <w:rPr>
          <w:color w:val="000000"/>
          <w:lang w:eastAsia="zh-CN"/>
        </w:rPr>
        <w:t>（含运费、装卸费），注明税率和发票类型；以</w:t>
      </w:r>
      <w:r>
        <w:rPr>
          <w:color w:val="000000"/>
          <w:lang w:eastAsia="zh-CN"/>
        </w:rPr>
        <w:t xml:space="preserve">发热量 4700 </w:t>
      </w:r>
      <w:proofErr w:type="gramStart"/>
      <w:r>
        <w:rPr>
          <w:color w:val="000000"/>
          <w:lang w:eastAsia="zh-CN"/>
        </w:rPr>
        <w:t>大卡/</w:t>
      </w:r>
      <w:proofErr w:type="gramEnd"/>
      <w:r>
        <w:rPr>
          <w:color w:val="000000"/>
          <w:lang w:eastAsia="zh-CN"/>
        </w:rPr>
        <w:t xml:space="preserve">kg </w:t>
      </w:r>
      <w:r w:rsidR="00500FF9">
        <w:rPr>
          <w:color w:val="000000"/>
          <w:lang w:eastAsia="zh-CN"/>
        </w:rPr>
        <w:t>为报价基准。实测热值高于基准的</w:t>
      </w:r>
      <w:r w:rsidR="00500FF9">
        <w:rPr>
          <w:rFonts w:hint="eastAsia"/>
          <w:color w:val="000000"/>
          <w:lang w:eastAsia="zh-CN"/>
        </w:rPr>
        <w:t>不予</w:t>
      </w:r>
      <w:r>
        <w:rPr>
          <w:color w:val="000000"/>
          <w:lang w:eastAsia="zh-CN"/>
        </w:rPr>
        <w:t>加价</w:t>
      </w:r>
      <w:r w:rsidR="00500FF9">
        <w:rPr>
          <w:rFonts w:hint="eastAsia"/>
          <w:lang w:eastAsia="zh-CN"/>
        </w:rPr>
        <w:t>，低于基准的拒收</w:t>
      </w:r>
    </w:p>
    <w:p w:rsidR="00C01FEB" w:rsidRDefault="00A30BF2">
      <w:pPr>
        <w:spacing w:after="60" w:line="293" w:lineRule="auto"/>
        <w:rPr>
          <w:lang w:eastAsia="zh-CN"/>
        </w:rPr>
      </w:pPr>
      <w:r>
        <w:rPr>
          <w:color w:val="000000"/>
          <w:lang w:eastAsia="zh-CN"/>
        </w:rPr>
        <w:t xml:space="preserve">5. </w:t>
      </w:r>
      <w:r w:rsidR="00500FF9">
        <w:rPr>
          <w:color w:val="000000"/>
          <w:lang w:eastAsia="zh-CN"/>
        </w:rPr>
        <w:t>供应商资格</w:t>
      </w:r>
      <w:r>
        <w:rPr>
          <w:color w:val="000000"/>
          <w:lang w:eastAsia="zh-CN"/>
        </w:rPr>
        <w:t>：</w:t>
      </w:r>
      <w:r w:rsidR="00500FF9">
        <w:rPr>
          <w:rFonts w:hint="eastAsia"/>
          <w:color w:val="000000"/>
          <w:lang w:eastAsia="zh-CN"/>
        </w:rPr>
        <w:t>是生产厂家</w:t>
      </w:r>
      <w:r>
        <w:rPr>
          <w:color w:val="000000"/>
          <w:lang w:eastAsia="zh-CN"/>
        </w:rPr>
        <w:t>，</w:t>
      </w:r>
      <w:r w:rsidR="00500FF9">
        <w:rPr>
          <w:rFonts w:hint="eastAsia"/>
          <w:color w:val="000000"/>
          <w:lang w:eastAsia="zh-CN"/>
        </w:rPr>
        <w:t>保证供货能力</w:t>
      </w:r>
      <w:r>
        <w:rPr>
          <w:color w:val="000000"/>
          <w:lang w:eastAsia="zh-CN"/>
        </w:rPr>
        <w:t>，有同类供货业绩。</w:t>
      </w:r>
    </w:p>
    <w:p w:rsidR="00C01FEB" w:rsidRDefault="00C01FEB">
      <w:pPr>
        <w:rPr>
          <w:lang w:eastAsia="zh-CN"/>
        </w:rPr>
      </w:pPr>
    </w:p>
    <w:p w:rsidR="00A30BF2" w:rsidRDefault="00A30BF2">
      <w:pPr>
        <w:rPr>
          <w:lang w:eastAsia="zh-CN"/>
        </w:rPr>
      </w:pPr>
    </w:p>
    <w:sectPr w:rsidR="00A30BF2" w:rsidSect="00034616">
      <w:pgSz w:w="11906" w:h="16838"/>
      <w:pgMar w:top="1134" w:right="1020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00FF9"/>
    <w:rsid w:val="009A25D5"/>
    <w:rsid w:val="00A30BF2"/>
    <w:rsid w:val="00AA1D8D"/>
    <w:rsid w:val="00B47730"/>
    <w:rsid w:val="00C01FEB"/>
    <w:rsid w:val="00CB0664"/>
    <w:rsid w:val="00F971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80DEF5"/>
  <w14:defaultImageDpi w14:val="300"/>
  <w15:docId w15:val="{227287CB-F638-446A-A18C-B9E9FAA26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宋体" w:eastAsia="宋体" w:hAnsi="宋体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56257EF-CE3C-4315-817C-A2BF5D5B1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4</cp:revision>
  <dcterms:created xsi:type="dcterms:W3CDTF">2013-12-23T23:15:00Z</dcterms:created>
  <dcterms:modified xsi:type="dcterms:W3CDTF">2026-10-10T03:33:00Z</dcterms:modified>
  <cp:category/>
</cp:coreProperties>
</file>